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《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国际商务谈判</w:t>
      </w:r>
      <w:r>
        <w:rPr>
          <w:rFonts w:hint="eastAsia" w:ascii="华文仿宋" w:hAnsi="华文仿宋" w:eastAsia="华文仿宋" w:cs="华文仿宋"/>
          <w:sz w:val="28"/>
          <w:szCs w:val="28"/>
        </w:rPr>
        <w:t>》课程教学提纲</w:t>
      </w:r>
    </w:p>
    <w:p>
      <w:pPr>
        <w:jc w:val="center"/>
        <w:rPr>
          <w:rFonts w:ascii="华文仿宋" w:hAnsi="华文仿宋" w:eastAsia="华文仿宋" w:cs="Times New Roman"/>
          <w:sz w:val="28"/>
          <w:szCs w:val="28"/>
        </w:rPr>
      </w:pPr>
      <w:r>
        <w:rPr>
          <w:rFonts w:ascii="华文仿宋" w:hAnsi="华文仿宋" w:eastAsia="华文仿宋" w:cs="华文仿宋"/>
        </w:rPr>
        <w:t>International Business Nagotionation</w:t>
      </w:r>
      <w:bookmarkStart w:id="0" w:name="_GoBack"/>
      <w:bookmarkEnd w:id="0"/>
    </w:p>
    <w:p>
      <w:pPr>
        <w:pStyle w:val="6"/>
        <w:numPr>
          <w:ilvl w:val="0"/>
          <w:numId w:val="1"/>
        </w:numPr>
        <w:ind w:firstLineChars="0"/>
        <w:jc w:val="left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课程基本信息（</w:t>
      </w:r>
      <w:r>
        <w:rPr>
          <w:rFonts w:ascii="华文仿宋" w:hAnsi="华文仿宋" w:eastAsia="华文仿宋" w:cs="华文仿宋"/>
          <w:sz w:val="28"/>
          <w:szCs w:val="28"/>
        </w:rPr>
        <w:t>Basic Information of Course</w:t>
      </w:r>
      <w:r>
        <w:rPr>
          <w:rFonts w:hint="eastAsia" w:ascii="华文仿宋" w:hAnsi="华文仿宋" w:eastAsia="华文仿宋" w:cs="华文仿宋"/>
          <w:sz w:val="28"/>
          <w:szCs w:val="28"/>
        </w:rPr>
        <w:t>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098"/>
        <w:gridCol w:w="59"/>
        <w:gridCol w:w="642"/>
        <w:gridCol w:w="492"/>
        <w:gridCol w:w="1642"/>
        <w:gridCol w:w="59"/>
        <w:gridCol w:w="606"/>
        <w:gridCol w:w="522"/>
        <w:gridCol w:w="1189"/>
        <w:gridCol w:w="318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开课归属系部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金融与贸易系</w:t>
            </w:r>
          </w:p>
        </w:tc>
        <w:tc>
          <w:tcPr>
            <w:tcW w:w="170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开课归属专业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Major</w:t>
            </w:r>
          </w:p>
        </w:tc>
        <w:tc>
          <w:tcPr>
            <w:tcW w:w="3406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国际贸易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2013-2014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 w:cs="Times New Roman"/>
              </w:rPr>
            </w:pPr>
            <w:r>
              <w:t>Semester</w:t>
            </w:r>
          </w:p>
        </w:tc>
        <w:tc>
          <w:tcPr>
            <w:tcW w:w="5107" w:type="dxa"/>
            <w:gridSpan w:val="7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rFonts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□第一学期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hAnsi="华文仿宋" w:eastAsia="华文仿宋" w:cs="华文仿宋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</w:rPr>
              <w:t>□第二学期</w:t>
            </w:r>
            <w:r>
              <w:rPr>
                <w:lang w:eastAsia="zh-TW"/>
              </w:rPr>
              <w:t>(Spring)</w:t>
            </w:r>
            <w:r>
              <w:t xml:space="preserve"> 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图片 1" o:spid="_x0000_s1026" alt="C:\DOCUME~1\ADMINI~1\LOCALS~1\Temp\SGTpbq\5004\000584D7.png" type="#_x0000_t75" style="height:15pt;width:15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国际商务谈判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Course ID</w:t>
            </w:r>
          </w:p>
        </w:tc>
        <w:tc>
          <w:tcPr>
            <w:tcW w:w="1128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课程英文名称</w:t>
            </w:r>
          </w:p>
        </w:tc>
        <w:tc>
          <w:tcPr>
            <w:tcW w:w="6120" w:type="dxa"/>
            <w:gridSpan w:val="8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International Business Nagotionation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课程属性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 w:cs="Times New Roman"/>
              </w:rPr>
            </w:pPr>
            <w:r>
              <w:rPr>
                <w:rFonts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  <w:pict>
                <v:shape id="文本框 1" o:spid="_x0000_s1027" type="#_x0000_t202" style="position:absolute;left:0;margin-left:324.95pt;margin-top:9.55pt;height:20.1pt;width:89.5pt;rotation:0f;z-index:-251658240;" o:ole="f" fillcolor="#FFFFFF" filled="t" o:preferrelative="t" stroked="f" coordorigin="0,0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rFonts w:cs="Times New Roman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 w:cs="宋体"/>
                            <w:sz w:val="13"/>
                            <w:szCs w:val="13"/>
                          </w:rPr>
                          <w:t>说明：</w:t>
                        </w:r>
                        <w:r>
                          <w:rPr>
                            <w:sz w:val="13"/>
                            <w:szCs w:val="13"/>
                          </w:rPr>
                          <w:t>12</w:t>
                        </w:r>
                        <w:r>
                          <w:rPr>
                            <w:rFonts w:hint="eastAsia" w:cs="宋体"/>
                            <w:sz w:val="13"/>
                            <w:szCs w:val="13"/>
                          </w:rPr>
                          <w:t>级以前开设课程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华文仿宋" w:hAnsi="华文仿宋" w:eastAsia="华文仿宋" w:cs="华文仿宋"/>
              </w:rPr>
              <w:t>□公共基础必修课□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i1026" o:spid="_x0000_s1028" alt="C:\DOCUME~1\ADMINI~1\LOCALS~1\Temp\SGTpbq\5004\000584D7.png" type="#_x0000_t75" style="height:15pt;width:15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  <w:r>
              <w:rPr>
                <w:rFonts w:hint="eastAsia" w:ascii="华文仿宋" w:hAnsi="华文仿宋" w:eastAsia="华文仿宋" w:cs="华文仿宋"/>
              </w:rPr>
              <w:t>专业基础必修课□专业选修课□公共选修课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8398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 w:cs="Times New Roman"/>
              </w:rPr>
            </w:pPr>
            <w:r>
              <w:rPr>
                <w:rFonts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  <w:pict>
                <v:shape id="文本框 2" o:spid="_x0000_s1029" type="#_x0000_t202" style="position:absolute;left:0;margin-left:348.15pt;margin-top:13.95pt;height:20.75pt;width:66.8pt;rotation:0f;z-index:-251657216;" o:ole="f" fillcolor="#FFFFFF" filled="t" o:preferrelative="t" stroked="f" coordorigin="0,0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rFonts w:cs="Times New Roman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 w:cs="宋体"/>
                            <w:sz w:val="13"/>
                            <w:szCs w:val="13"/>
                          </w:rPr>
                          <w:t>说明：</w:t>
                        </w:r>
                        <w:r>
                          <w:rPr>
                            <w:sz w:val="13"/>
                            <w:szCs w:val="13"/>
                          </w:rPr>
                          <w:t>13</w:t>
                        </w:r>
                        <w:r>
                          <w:rPr>
                            <w:rFonts w:hint="eastAsia" w:cs="宋体"/>
                            <w:sz w:val="13"/>
                            <w:szCs w:val="13"/>
                          </w:rPr>
                          <w:t>开设课程</w:t>
                        </w:r>
                      </w:p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hint="eastAsia" w:ascii="华文仿宋" w:hAnsi="华文仿宋" w:eastAsia="华文仿宋" w:cs="华文仿宋"/>
              </w:rPr>
              <w:t>□通识基础课程□通识选修课程□专业基础课程□专业方向课程□专业选修课程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Prerequisite Course</w:t>
            </w:r>
          </w:p>
        </w:tc>
        <w:tc>
          <w:tcPr>
            <w:tcW w:w="8398" w:type="dxa"/>
            <w:gridSpan w:val="11"/>
            <w:vAlign w:val="top"/>
          </w:tcPr>
          <w:p>
            <w:pPr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i1027" o:spid="_x0000_s1030" alt="C:\DOCUME~1\ADMINI~1\LOCALS~1\Temp\SGTpbq\5004\000584D7.png" type="#_x0000_t75" style="height:15pt;width:15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  <w:r>
              <w:rPr>
                <w:rFonts w:hint="eastAsia" w:ascii="华文仿宋" w:hAnsi="华文仿宋" w:eastAsia="华文仿宋" w:cs="华文仿宋"/>
              </w:rPr>
              <w:t>中文</w:t>
            </w:r>
            <w:r>
              <w:rPr>
                <w:rFonts w:ascii="华文仿宋" w:hAnsi="华文仿宋" w:eastAsia="华文仿宋" w:cs="华文仿宋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 w:cs="华文仿宋"/>
              </w:rPr>
              <w:t>外语</w:t>
            </w:r>
            <w:r>
              <w:rPr>
                <w:rFonts w:ascii="华文仿宋" w:hAnsi="华文仿宋" w:eastAsia="华文仿宋" w:cs="华文仿宋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 w:cs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5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i1028" o:spid="_x0000_s1031" alt="C:\DOCUME~1\ADMINI~1\LOCALS~1\Temp\SGTpbq\5004\000584D7.png" type="#_x0000_t75" style="height:15pt;width:15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  <w:r>
              <w:rPr>
                <w:rFonts w:hint="eastAsia" w:ascii="华文仿宋" w:hAnsi="华文仿宋" w:eastAsia="华文仿宋" w:cs="华文仿宋"/>
              </w:rPr>
              <w:t>中文</w:t>
            </w:r>
            <w:r>
              <w:rPr>
                <w:rFonts w:ascii="华文仿宋" w:hAnsi="华文仿宋" w:eastAsia="华文仿宋" w:cs="华文仿宋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 w:cs="华文仿宋"/>
              </w:rPr>
              <w:t>外语</w:t>
            </w:r>
            <w:r>
              <w:rPr>
                <w:rFonts w:ascii="华文仿宋" w:hAnsi="华文仿宋" w:eastAsia="华文仿宋" w:cs="华文仿宋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 w:cs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Course Material</w:t>
            </w:r>
          </w:p>
        </w:tc>
        <w:tc>
          <w:tcPr>
            <w:tcW w:w="8398" w:type="dxa"/>
            <w:gridSpan w:val="11"/>
            <w:vAlign w:val="center"/>
          </w:tcPr>
          <w:p>
            <w:pPr>
              <w:jc w:val="center"/>
              <w:rPr>
                <w:rFonts w:ascii="华文仿宋" w:eastAsia="华文仿宋" w:cs="华文仿宋"/>
              </w:rPr>
            </w:pPr>
            <w:r>
              <w:rPr>
                <w:rFonts w:hint="eastAsia" w:ascii="PMingLiU" w:hAnsi="PMingLiU" w:eastAsia="PMingLiU" w:cs="PMingLiU"/>
                <w:color w:val="000000"/>
                <w:sz w:val="27"/>
                <w:szCs w:val="27"/>
              </w:rPr>
              <w:t>国际商务谈判</w:t>
            </w:r>
            <w:r>
              <w:rPr>
                <w:rFonts w:ascii="PMingLiU" w:hAnsi="PMingLiU" w:eastAsia="PMingLiU" w:cs="PMingLiU"/>
                <w:color w:val="000000"/>
                <w:sz w:val="27"/>
                <w:szCs w:val="27"/>
              </w:rPr>
              <w:t>:</w:t>
            </w:r>
            <w:r>
              <w:rPr>
                <w:rFonts w:hint="eastAsia" w:ascii="PMingLiU" w:hAnsi="PMingLiU" w:eastAsia="PMingLiU" w:cs="PMingLiU"/>
                <w:color w:val="000000"/>
                <w:sz w:val="27"/>
                <w:szCs w:val="27"/>
              </w:rPr>
              <w:t>理论案例分析与实践</w:t>
            </w:r>
            <w:r>
              <w:rPr>
                <w:rFonts w:ascii="PMingLiU" w:hAnsi="PMingLiU" w:eastAsia="PMingLiU" w:cs="PMingLiU"/>
                <w:color w:val="000000"/>
                <w:sz w:val="27"/>
                <w:szCs w:val="27"/>
              </w:rPr>
              <w:t>(</w:t>
            </w:r>
            <w:r>
              <w:rPr>
                <w:rFonts w:hint="eastAsia" w:ascii="PMingLiU" w:hAnsi="PMingLiU" w:eastAsia="PMingLiU" w:cs="PMingLiU"/>
                <w:color w:val="000000"/>
                <w:sz w:val="27"/>
                <w:szCs w:val="27"/>
              </w:rPr>
              <w:t>第</w:t>
            </w:r>
            <w:r>
              <w:rPr>
                <w:rFonts w:ascii="PMingLiU" w:hAnsi="PMingLiU" w:eastAsia="PMingLiU" w:cs="PMingLiU"/>
                <w:color w:val="000000"/>
                <w:sz w:val="27"/>
                <w:szCs w:val="27"/>
              </w:rPr>
              <w:t>3</w:t>
            </w:r>
            <w:r>
              <w:rPr>
                <w:rFonts w:hint="eastAsia" w:ascii="PMingLiU" w:hAnsi="PMingLiU" w:eastAsia="PMingLiU" w:cs="PMingLiU"/>
                <w:color w:val="000000"/>
                <w:sz w:val="27"/>
                <w:szCs w:val="27"/>
              </w:rPr>
              <w:t>版</w:t>
            </w:r>
            <w:r>
              <w:rPr>
                <w:rFonts w:ascii="PMingLiU" w:hAnsi="PMingLiU" w:eastAsia="PMingLiU" w:cs="PMingLiU"/>
                <w:color w:val="000000"/>
                <w:sz w:val="27"/>
                <w:szCs w:val="27"/>
              </w:rPr>
              <w:t>)</w:t>
            </w:r>
            <w:r>
              <w:rPr>
                <w:rFonts w:ascii="PMingLiU" w:hAnsi="PMingLiU" w:cs="PMingLiU"/>
                <w:color w:val="000000"/>
                <w:sz w:val="27"/>
                <w:szCs w:val="27"/>
              </w:rPr>
              <w:t xml:space="preserve"> </w:t>
            </w:r>
            <w:r>
              <w:rPr>
                <w:rFonts w:hint="eastAsia" w:ascii="PMingLiU" w:hAnsi="PMingLiU" w:cs="宋体"/>
                <w:color w:val="000000"/>
                <w:sz w:val="27"/>
                <w:szCs w:val="27"/>
              </w:rPr>
              <w:t>白远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参考教材及文献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Reference</w:t>
            </w:r>
          </w:p>
        </w:tc>
        <w:tc>
          <w:tcPr>
            <w:tcW w:w="8398" w:type="dxa"/>
            <w:gridSpan w:val="11"/>
            <w:vAlign w:val="center"/>
          </w:tcPr>
          <w:p>
            <w:pPr>
              <w:jc w:val="left"/>
              <w:rPr>
                <w:rFonts w:ascii="华文仿宋" w:eastAsia="华文仿宋" w:cs="华文仿宋"/>
              </w:rPr>
            </w:pPr>
            <w:r>
              <w:rPr>
                <w:rFonts w:hint="eastAsia" w:ascii="华文仿宋" w:hAnsi="华文仿宋" w:cs="宋体"/>
              </w:rPr>
              <w:t>商务谈判</w:t>
            </w:r>
            <w:r>
              <w:rPr>
                <w:rFonts w:ascii="华文仿宋" w:hAnsi="华文仿宋" w:cs="华文仿宋"/>
              </w:rPr>
              <w:t>—</w:t>
            </w:r>
            <w:r>
              <w:rPr>
                <w:rFonts w:hint="eastAsia" w:ascii="华文仿宋" w:hAnsi="华文仿宋" w:cs="宋体"/>
              </w:rPr>
              <w:t>理论、技巧、案例（第三版）方其</w:t>
            </w:r>
          </w:p>
          <w:p>
            <w:pPr>
              <w:jc w:val="left"/>
              <w:rPr>
                <w:rFonts w:ascii="华文仿宋" w:eastAsia="华文仿宋" w:cs="华文仿宋"/>
              </w:rPr>
            </w:pPr>
            <w:r>
              <w:rPr>
                <w:rFonts w:hint="eastAsia" w:ascii="华文仿宋" w:hAnsi="华文仿宋" w:cs="宋体"/>
              </w:rPr>
              <w:t>商务谈判</w:t>
            </w:r>
            <w:r>
              <w:rPr>
                <w:rFonts w:ascii="华文仿宋" w:hAnsi="华文仿宋" w:cs="华文仿宋"/>
              </w:rPr>
              <w:t xml:space="preserve"> </w:t>
            </w:r>
            <w:r>
              <w:rPr>
                <w:rFonts w:hint="eastAsia" w:ascii="华文仿宋" w:hAnsi="华文仿宋" w:cs="宋体"/>
              </w:rPr>
              <w:t>冯华亚</w:t>
            </w:r>
          </w:p>
          <w:p>
            <w:pPr>
              <w:jc w:val="left"/>
              <w:rPr>
                <w:rFonts w:ascii="华文仿宋" w:hAnsi="华文仿宋" w:eastAsia="PMingLiU" w:cs="Times New Roman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215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授课内容简介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Course Contents Introduction</w:t>
            </w:r>
          </w:p>
        </w:tc>
        <w:tc>
          <w:tcPr>
            <w:tcW w:w="8398" w:type="dxa"/>
            <w:gridSpan w:val="11"/>
            <w:vAlign w:val="center"/>
          </w:tcPr>
          <w:p>
            <w:pPr>
              <w:pStyle w:val="7"/>
              <w:ind w:firstLine="420"/>
              <w:rPr>
                <w:rFonts w:ascii="宋体"/>
              </w:rPr>
            </w:pPr>
            <w:r>
              <w:t xml:space="preserve">  </w:t>
            </w:r>
            <w:r>
              <w:rPr>
                <w:rFonts w:hint="eastAsia" w:ascii="宋体" w:hAnsi="宋体" w:cs="宋体"/>
              </w:rPr>
              <w:t>《商务谈判》是四年制国际贸易专业的一门专业选修课。通过对商务谈判的基础知识、实际应用过程中的技巧的学习，修业后，要求学生能掌握商务谈判基本理论、商务谈判策略和技巧，为从事商务活动奠定必要基础。</w:t>
            </w:r>
          </w:p>
          <w:p>
            <w:pPr>
              <w:jc w:val="left"/>
              <w:rPr>
                <w:rFonts w:ascii="华文仿宋" w:hAnsi="华文仿宋" w:eastAsia="华文仿宋" w:cs="Times New Roman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考核方式</w:t>
            </w:r>
          </w:p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Assessment Methods</w:t>
            </w:r>
          </w:p>
        </w:tc>
        <w:tc>
          <w:tcPr>
            <w:tcW w:w="839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i1029" o:spid="_x0000_s1032" alt="C:\DOCUME~1\ADMINI~1\LOCALS~1\Temp\SGTpbq\5004\000584D7.png" type="#_x0000_t75" style="height:15pt;width:15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  <w:r>
              <w:rPr>
                <w:rFonts w:hint="eastAsia" w:ascii="华文仿宋" w:hAnsi="华文仿宋" w:eastAsia="华文仿宋" w:cs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hint="eastAsia" w:ascii="华文仿宋" w:hAnsi="华文仿宋" w:eastAsia="华文仿宋" w:cs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hint="eastAsia" w:ascii="华文仿宋" w:hAnsi="华文仿宋" w:eastAsia="华文仿宋" w:cs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hint="eastAsia" w:ascii="华文仿宋" w:hAnsi="华文仿宋" w:eastAsia="华文仿宋" w:cs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hint="eastAsia" w:ascii="华文仿宋" w:hAnsi="华文仿宋" w:eastAsia="华文仿宋" w:cs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hint="eastAsia" w:ascii="华文仿宋" w:hAnsi="华文仿宋" w:eastAsia="华文仿宋" w:cs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hint="eastAsia" w:ascii="华文仿宋" w:hAnsi="华文仿宋" w:eastAsia="华文仿宋" w:cs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 w:cs="华文仿宋"/>
              </w:rPr>
              <w:t>测验</w:t>
            </w:r>
            <w:r>
              <w:rPr>
                <w:rFonts w:ascii="华文仿宋" w:hAnsi="华文仿宋" w:eastAsia="华文仿宋" w:cs="华文仿宋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hint="eastAsia" w:ascii="华文仿宋" w:hAnsi="华文仿宋" w:eastAsia="华文仿宋" w:cs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hint="eastAsia" w:ascii="华文仿宋" w:hAnsi="华文仿宋" w:eastAsia="华文仿宋" w:cs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课堂控制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方法</w:t>
            </w:r>
          </w:p>
        </w:tc>
        <w:tc>
          <w:tcPr>
            <w:tcW w:w="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次数</w:t>
            </w: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考勤</w:t>
            </w:r>
          </w:p>
        </w:tc>
        <w:tc>
          <w:tcPr>
            <w:tcW w:w="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6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3</w:t>
            </w: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课堂测验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（含小组和个人）</w:t>
            </w:r>
          </w:p>
        </w:tc>
        <w:tc>
          <w:tcPr>
            <w:tcW w:w="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</w:t>
            </w: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期末考试</w:t>
            </w:r>
          </w:p>
        </w:tc>
        <w:tc>
          <w:tcPr>
            <w:tcW w:w="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期中考试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其他（请说明）</w:t>
            </w:r>
          </w:p>
        </w:tc>
        <w:tc>
          <w:tcPr>
            <w:tcW w:w="63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说明</w:t>
            </w:r>
          </w:p>
        </w:tc>
        <w:tc>
          <w:tcPr>
            <w:tcW w:w="8398" w:type="dxa"/>
            <w:gridSpan w:val="11"/>
            <w:vAlign w:val="top"/>
          </w:tcPr>
          <w:p>
            <w:pPr>
              <w:rPr>
                <w:rFonts w:ascii="华文仿宋" w:hAnsi="华文仿宋" w:eastAsia="华文仿宋" w:cs="Times New Roman"/>
              </w:rPr>
            </w:pPr>
            <w:r>
              <w:rPr>
                <w:rFonts w:ascii="华文仿宋" w:hAnsi="华文仿宋" w:eastAsia="华文仿宋" w:cs="华文仿宋"/>
              </w:rPr>
              <w:t>1.</w:t>
            </w:r>
            <w:r>
              <w:rPr>
                <w:rFonts w:hint="eastAsia" w:ascii="华文琥珀" w:hAnsi="华文仿宋" w:eastAsia="华文琥珀" w:cs="华文琥珀"/>
                <w:sz w:val="24"/>
                <w:szCs w:val="24"/>
              </w:rPr>
              <w:t>专业课（含选修）必须布置专题小论文或调研报告至少一次，不能为“</w:t>
            </w:r>
            <w:r>
              <w:rPr>
                <w:rFonts w:ascii="华文琥珀" w:hAnsi="华文仿宋" w:eastAsia="华文琥珀" w:cs="华文琥珀"/>
                <w:sz w:val="24"/>
                <w:szCs w:val="24"/>
              </w:rPr>
              <w:t>0</w:t>
            </w:r>
            <w:r>
              <w:rPr>
                <w:rFonts w:hint="eastAsia" w:ascii="华文琥珀" w:hAnsi="华文仿宋" w:eastAsia="华文琥珀" w:cs="华文琥珀"/>
                <w:sz w:val="24"/>
                <w:szCs w:val="24"/>
              </w:rPr>
              <w:t>”</w:t>
            </w:r>
          </w:p>
          <w:p>
            <w:pPr>
              <w:rPr>
                <w:rFonts w:ascii="华文仿宋" w:hAnsi="华文仿宋" w:eastAsia="华文仿宋" w:cs="Times New Roman"/>
              </w:rPr>
            </w:pPr>
          </w:p>
        </w:tc>
      </w:tr>
    </w:tbl>
    <w:p>
      <w:pPr>
        <w:jc w:val="left"/>
        <w:rPr>
          <w:rFonts w:ascii="华文仿宋" w:hAnsi="华文仿宋" w:eastAsia="华文仿宋" w:cs="Times New Roman"/>
          <w:sz w:val="28"/>
          <w:szCs w:val="28"/>
        </w:rPr>
        <w:sectPr>
          <w:headerReference r:id="rId4" w:type="default"/>
          <w:pgSz w:w="11906" w:h="16838"/>
          <w:pgMar w:top="1440" w:right="1800" w:bottom="1135" w:left="1800" w:header="851" w:footer="992" w:gutter="0"/>
          <w:cols w:space="425" w:num="1"/>
          <w:docGrid w:type="lines" w:linePitch="312" w:charSpace="0"/>
        </w:sectPr>
      </w:pPr>
    </w:p>
    <w:p>
      <w:pPr>
        <w:pStyle w:val="6"/>
        <w:numPr>
          <w:ilvl w:val="0"/>
          <w:numId w:val="1"/>
        </w:numPr>
        <w:ind w:firstLineChars="0"/>
        <w:jc w:val="left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任课教师基本信息（</w:t>
      </w:r>
      <w:r>
        <w:rPr>
          <w:rFonts w:ascii="华文仿宋" w:hAnsi="华文仿宋" w:eastAsia="华文仿宋" w:cs="华文仿宋"/>
          <w:sz w:val="28"/>
          <w:szCs w:val="28"/>
        </w:rPr>
        <w:t>Basic Information of Teachers</w:t>
      </w:r>
      <w:r>
        <w:rPr>
          <w:rFonts w:hint="eastAsia" w:ascii="华文仿宋" w:hAnsi="华文仿宋" w:eastAsia="华文仿宋" w:cs="华文仿宋"/>
          <w:sz w:val="28"/>
          <w:szCs w:val="28"/>
        </w:rPr>
        <w:t>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教师信息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ascii="华文仿宋" w:hAnsi="华文仿宋" w:eastAsia="华文仿宋" w:cs="华文仿宋"/>
                <w:sz w:val="18"/>
                <w:szCs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关聪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性别</w:t>
            </w:r>
          </w:p>
          <w:p>
            <w:pPr>
              <w:widowControl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出生年月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Date of Birth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ascii="华文仿宋" w:hAnsi="华文仿宋" w:eastAsia="华文仿宋" w:cs="华文仿宋"/>
              </w:rPr>
              <w:t>1964,11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聘任方式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ascii="华文仿宋" w:hAnsi="华文仿宋" w:eastAsia="华文仿宋" w:cs="华文仿宋"/>
                <w:sz w:val="16"/>
                <w:szCs w:val="16"/>
              </w:rPr>
              <w:t>Recruitment Channel</w:t>
            </w:r>
          </w:p>
        </w:tc>
        <w:tc>
          <w:tcPr>
            <w:tcW w:w="4093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i1030" o:spid="_x0000_s1033" alt="C:\DOCUME~1\ADMINI~1\LOCALS~1\Temp\SGTpbq\5004\000584D7.png" type="#_x0000_t75" style="height:15pt;width:15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  <w:r>
              <w:rPr>
                <w:rFonts w:hint="eastAsia" w:ascii="华文仿宋" w:hAnsi="华文仿宋" w:eastAsia="华文仿宋" w:cs="华文仿宋"/>
              </w:rPr>
              <w:t>专职教师</w:t>
            </w:r>
            <w:r>
              <w:rPr>
                <w:rFonts w:ascii="华文仿宋" w:hAnsi="华文仿宋" w:eastAsia="华文仿宋" w:cs="华文仿宋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</w:rPr>
              <w:t>□外聘教师</w:t>
            </w:r>
            <w:r>
              <w:rPr>
                <w:rFonts w:ascii="华文仿宋" w:hAnsi="华文仿宋" w:eastAsia="华文仿宋" w:cs="华文仿宋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</w:rPr>
              <w:t>□行政兼职教师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金贸系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</w:rPr>
              <w:t>职称</w:t>
            </w:r>
            <w:r>
              <w:rPr>
                <w:rFonts w:ascii="华文仿宋" w:hAnsi="华文仿宋" w:eastAsia="华文仿宋" w:cs="华文仿宋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31680" w:firstLineChars="50"/>
              <w:jc w:val="left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□教授</w:t>
            </w:r>
            <w:r>
              <w:rPr>
                <w:rFonts w:ascii="华文仿宋" w:hAnsi="华文仿宋" w:eastAsia="华文仿宋" w:cs="华文仿宋"/>
              </w:rPr>
              <w:t xml:space="preserve">    </w:t>
            </w:r>
            <w:r>
              <w:rPr>
                <w:rFonts w:hint="eastAsia" w:ascii="华文仿宋" w:hAnsi="华文仿宋" w:eastAsia="华文仿宋" w:cs="华文仿宋"/>
              </w:rPr>
              <w:t>□副教授</w:t>
            </w:r>
            <w:r>
              <w:rPr>
                <w:rFonts w:ascii="华文仿宋" w:hAnsi="华文仿宋" w:eastAsia="华文仿宋" w:cs="华文仿宋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i1031" o:spid="_x0000_s1034" alt="C:\DOCUME~1\ADMINI~1\LOCALS~1\Temp\SGTpbq\5004\000584D7.png" type="#_x0000_t75" style="height:15pt;width:15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  <w:r>
              <w:rPr>
                <w:rFonts w:hint="eastAsia" w:ascii="华文仿宋" w:hAnsi="华文仿宋" w:eastAsia="华文仿宋" w:cs="华文仿宋"/>
              </w:rPr>
              <w:t>讲师</w:t>
            </w:r>
            <w:r>
              <w:rPr>
                <w:rFonts w:ascii="华文仿宋" w:hAnsi="华文仿宋" w:eastAsia="华文仿宋" w:cs="华文仿宋"/>
              </w:rPr>
              <w:t xml:space="preserve">    </w:t>
            </w:r>
            <w:r>
              <w:rPr>
                <w:rFonts w:hint="eastAsia" w:ascii="华文仿宋" w:hAnsi="华文仿宋" w:eastAsia="华文仿宋" w:cs="华文仿宋"/>
              </w:rPr>
              <w:t>□助教</w:t>
            </w:r>
            <w:r>
              <w:rPr>
                <w:rFonts w:ascii="华文仿宋" w:hAnsi="华文仿宋" w:eastAsia="华文仿宋" w:cs="华文仿宋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最高学历</w:t>
            </w:r>
            <w:r>
              <w:rPr>
                <w:rFonts w:ascii="华文仿宋" w:hAnsi="华文仿宋" w:eastAsia="华文仿宋" w:cs="华文仿宋"/>
              </w:rPr>
              <w:t>/</w:t>
            </w:r>
            <w:r>
              <w:rPr>
                <w:rFonts w:hint="eastAsia" w:ascii="华文仿宋" w:hAnsi="华文仿宋" w:eastAsia="华文仿宋" w:cs="华文仿宋"/>
              </w:rPr>
              <w:t>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博士研究生</w:t>
            </w:r>
            <w:r>
              <w:rPr>
                <w:rFonts w:ascii="华文仿宋" w:hAnsi="华文仿宋" w:eastAsia="华文仿宋" w:cs="华文仿宋"/>
              </w:rPr>
              <w:t>/</w:t>
            </w:r>
            <w:r>
              <w:rPr>
                <w:rFonts w:hint="eastAsia" w:ascii="华文仿宋" w:hAnsi="华文仿宋" w:eastAsia="华文仿宋" w:cs="华文仿宋"/>
              </w:rPr>
              <w:t>博士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</w:rPr>
              <w:t>专业</w:t>
            </w:r>
            <w:r>
              <w:rPr>
                <w:rFonts w:ascii="华文仿宋" w:hAnsi="华文仿宋" w:eastAsia="华文仿宋" w:cs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国际金融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办公电话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69592501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办公室地址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1A306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答疑时间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  <w:sz w:val="16"/>
                <w:szCs w:val="16"/>
              </w:rPr>
            </w:pPr>
            <w:r>
              <w:rPr>
                <w:rFonts w:ascii="华文仿宋" w:hAnsi="华文仿宋" w:eastAsia="华文仿宋" w:cs="华文仿宋"/>
                <w:sz w:val="16"/>
                <w:szCs w:val="16"/>
              </w:rPr>
              <w:t>kangsou@sina.com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1A306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ascii="华文仿宋" w:hAnsi="华文仿宋" w:eastAsia="华文仿宋" w:cs="华文仿宋"/>
              </w:rPr>
              <w:t>QQ</w:t>
            </w:r>
            <w:r>
              <w:rPr>
                <w:rFonts w:hint="eastAsia" w:ascii="华文仿宋" w:hAnsi="华文仿宋" w:eastAsia="华文仿宋" w:cs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是否具有高校教师资格证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31680" w:firstLineChars="100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□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i1032" o:spid="_x0000_s1035" alt="C:\DOCUME~1\ADMINI~1\LOCALS~1\Temp\SGTpbq\5004\000584D7.png" type="#_x0000_t75" style="height:15pt;width:15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  <w:r>
              <w:rPr>
                <w:rFonts w:hint="eastAsia" w:ascii="华文仿宋" w:hAnsi="华文仿宋" w:eastAsia="华文仿宋" w:cs="华文仿宋"/>
              </w:rPr>
              <w:t>是</w:t>
            </w:r>
            <w:r>
              <w:rPr>
                <w:rFonts w:ascii="华文仿宋" w:hAnsi="华文仿宋" w:eastAsia="华文仿宋" w:cs="华文仿宋"/>
              </w:rPr>
              <w:t xml:space="preserve">    </w:t>
            </w:r>
            <w:r>
              <w:rPr>
                <w:rFonts w:hint="eastAsia" w:ascii="华文仿宋" w:hAnsi="华文仿宋" w:eastAsia="华文仿宋" w:cs="华文仿宋"/>
              </w:rPr>
              <w:t>□否</w:t>
            </w:r>
          </w:p>
        </w:tc>
      </w:tr>
    </w:tbl>
    <w:p>
      <w:pPr>
        <w:jc w:val="left"/>
        <w:rPr>
          <w:rFonts w:ascii="华文仿宋" w:hAnsi="华文仿宋" w:eastAsia="华文仿宋" w:cs="Times New Roman"/>
          <w:sz w:val="28"/>
          <w:szCs w:val="28"/>
        </w:rPr>
      </w:pPr>
    </w:p>
    <w:p>
      <w:pPr>
        <w:pStyle w:val="6"/>
        <w:numPr>
          <w:ilvl w:val="0"/>
          <w:numId w:val="1"/>
        </w:numPr>
        <w:ind w:firstLineChars="0"/>
        <w:jc w:val="lef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课程的预备知识</w:t>
      </w:r>
      <w:r>
        <w:rPr>
          <w:rFonts w:ascii="华文仿宋" w:hAnsi="华文仿宋" w:eastAsia="华文仿宋" w:cs="华文仿宋"/>
          <w:sz w:val="28"/>
          <w:szCs w:val="28"/>
        </w:rPr>
        <w:t xml:space="preserve"> Prerequisite Knowledgeof the Course</w:t>
      </w:r>
    </w:p>
    <w:tbl>
      <w:tblPr>
        <w:tblW w:w="1006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 w:cs="Times New Roman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我将在假设你们已经掌握国际贸易基本知识的前提下讲授课程，并且主要是着重于问题本质的分析。</w:t>
            </w:r>
          </w:p>
          <w:p>
            <w:pPr>
              <w:jc w:val="left"/>
              <w:rPr>
                <w:rFonts w:ascii="华文仿宋" w:hAnsi="华文仿宋" w:eastAsia="华文仿宋" w:cs="Times New Roman"/>
                <w:sz w:val="28"/>
                <w:szCs w:val="28"/>
              </w:rPr>
            </w:pPr>
          </w:p>
        </w:tc>
      </w:tr>
    </w:tbl>
    <w:p>
      <w:pPr>
        <w:jc w:val="left"/>
        <w:rPr>
          <w:rFonts w:ascii="华文仿宋" w:hAnsi="华文仿宋" w:eastAsia="华文仿宋" w:cs="Times New Roman"/>
          <w:sz w:val="28"/>
          <w:szCs w:val="28"/>
        </w:rPr>
      </w:pPr>
    </w:p>
    <w:p>
      <w:pPr>
        <w:pStyle w:val="6"/>
        <w:numPr>
          <w:ilvl w:val="0"/>
          <w:numId w:val="1"/>
        </w:numPr>
        <w:ind w:firstLineChars="0"/>
        <w:jc w:val="left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教学目的（</w:t>
      </w:r>
      <w:r>
        <w:rPr>
          <w:rFonts w:ascii="华文仿宋" w:hAnsi="华文仿宋" w:eastAsia="华文仿宋" w:cs="华文仿宋"/>
          <w:sz w:val="28"/>
          <w:szCs w:val="28"/>
        </w:rPr>
        <w:t>Course Description</w:t>
      </w:r>
      <w:r>
        <w:rPr>
          <w:rFonts w:hint="eastAsia" w:ascii="华文仿宋" w:hAnsi="华文仿宋" w:eastAsia="华文仿宋" w:cs="华文仿宋"/>
          <w:sz w:val="28"/>
          <w:szCs w:val="28"/>
        </w:rPr>
        <w:t>）</w:t>
      </w:r>
    </w:p>
    <w:tbl>
      <w:tblPr>
        <w:tblW w:w="1006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pStyle w:val="7"/>
              <w:ind w:firstLine="420"/>
              <w:rPr>
                <w:rFonts w:ascii="宋体"/>
              </w:rPr>
            </w:pPr>
          </w:p>
          <w:p>
            <w:pPr>
              <w:pStyle w:val="7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使学生能掌握商务谈判基本理论、商务谈判策略和技巧，为从事商务活动奠定必要基础。</w:t>
            </w:r>
          </w:p>
          <w:p>
            <w:pPr>
              <w:jc w:val="left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华文仿宋" w:hAnsi="华文仿宋" w:eastAsia="华文仿宋" w:cs="Times New Roman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 w:cs="Times New Roman"/>
                <w:sz w:val="28"/>
                <w:szCs w:val="28"/>
              </w:rPr>
            </w:pPr>
          </w:p>
        </w:tc>
      </w:tr>
    </w:tbl>
    <w:p>
      <w:pPr>
        <w:jc w:val="left"/>
        <w:rPr>
          <w:rFonts w:ascii="华文仿宋" w:hAnsi="华文仿宋" w:eastAsia="华文仿宋" w:cs="Times New Roman"/>
          <w:sz w:val="28"/>
          <w:szCs w:val="28"/>
        </w:rPr>
      </w:pPr>
    </w:p>
    <w:p>
      <w:pPr>
        <w:pStyle w:val="6"/>
        <w:numPr>
          <w:ilvl w:val="0"/>
          <w:numId w:val="1"/>
        </w:numPr>
        <w:ind w:firstLineChars="0"/>
        <w:jc w:val="lef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课前预习方法</w:t>
      </w:r>
      <w:r>
        <w:rPr>
          <w:rFonts w:ascii="华文仿宋" w:hAnsi="华文仿宋" w:eastAsia="华文仿宋" w:cs="华文仿宋"/>
          <w:sz w:val="28"/>
          <w:szCs w:val="28"/>
        </w:rPr>
        <w:t xml:space="preserve"> (Preview Methods)</w:t>
      </w:r>
    </w:p>
    <w:tbl>
      <w:tblPr>
        <w:tblW w:w="1006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 w:cs="Times New Roman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你们最好在课前进行预习，课堂上我将着重于如何解决问题。如果你们事先阅读了相关章节，这将有助于你们理解讲课的内容。</w:t>
            </w:r>
          </w:p>
          <w:p>
            <w:pPr>
              <w:jc w:val="left"/>
              <w:rPr>
                <w:rFonts w:ascii="华文仿宋" w:hAnsi="华文仿宋" w:eastAsia="华文仿宋" w:cs="Times New Roman"/>
                <w:sz w:val="28"/>
                <w:szCs w:val="28"/>
              </w:rPr>
            </w:pPr>
          </w:p>
        </w:tc>
      </w:tr>
    </w:tbl>
    <w:p>
      <w:pPr>
        <w:pStyle w:val="6"/>
        <w:numPr>
          <w:ilvl w:val="0"/>
          <w:numId w:val="1"/>
        </w:numPr>
        <w:ind w:firstLineChars="0"/>
        <w:jc w:val="lef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课程课堂要求</w:t>
      </w:r>
      <w:r>
        <w:rPr>
          <w:rFonts w:ascii="华文仿宋" w:hAnsi="华文仿宋" w:eastAsia="华文仿宋" w:cs="华文仿宋"/>
          <w:sz w:val="28"/>
          <w:szCs w:val="28"/>
        </w:rPr>
        <w:t xml:space="preserve"> ( Requirements for Classroom Performance)</w:t>
      </w:r>
    </w:p>
    <w:tbl>
      <w:tblPr>
        <w:tblW w:w="1006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42" w:hRule="atLeast"/>
        </w:trPr>
        <w:tc>
          <w:tcPr>
            <w:tcW w:w="10065" w:type="dxa"/>
            <w:vAlign w:val="top"/>
          </w:tcPr>
          <w:p>
            <w:pPr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迟到处理：迟到达</w:t>
            </w:r>
            <w:r>
              <w:rPr>
                <w:rFonts w:ascii="华文仿宋" w:hAnsi="华文仿宋" w:eastAsia="华文仿宋" w:cs="华文仿宋"/>
              </w:rPr>
              <w:t>3</w:t>
            </w:r>
            <w:r>
              <w:rPr>
                <w:rFonts w:hint="eastAsia" w:ascii="华文仿宋" w:hAnsi="华文仿宋" w:eastAsia="华文仿宋" w:cs="华文仿宋"/>
              </w:rPr>
              <w:t>次者，按旷课</w:t>
            </w:r>
            <w:r>
              <w:rPr>
                <w:rFonts w:ascii="华文仿宋" w:hAnsi="华文仿宋" w:eastAsia="华文仿宋" w:cs="华文仿宋"/>
              </w:rPr>
              <w:t>1</w:t>
            </w:r>
            <w:r>
              <w:rPr>
                <w:rFonts w:hint="eastAsia" w:ascii="华文仿宋" w:hAnsi="华文仿宋" w:eastAsia="华文仿宋" w:cs="华文仿宋"/>
              </w:rPr>
              <w:t>学时论</w:t>
            </w:r>
          </w:p>
          <w:p>
            <w:pPr>
              <w:rPr>
                <w:rFonts w:ascii="华文仿宋" w:hAnsi="华文仿宋" w:eastAsia="华文仿宋" w:cs="Times New Roman"/>
              </w:rPr>
            </w:pPr>
          </w:p>
          <w:p>
            <w:pPr>
              <w:pStyle w:val="7"/>
              <w:rPr>
                <w:rFonts w:ascii="Calibri" w:hAnsi="Calibri" w:cs="Calibri"/>
              </w:rPr>
            </w:pPr>
            <w:r>
              <w:rPr>
                <w:rFonts w:hint="eastAsia" w:ascii="华文仿宋" w:hAnsi="华文仿宋" w:eastAsia="华文仿宋" w:cs="华文仿宋"/>
              </w:rPr>
              <w:t>早退处理：均视为没有上课</w:t>
            </w:r>
          </w:p>
          <w:p>
            <w:pPr>
              <w:rPr>
                <w:rFonts w:ascii="华文仿宋" w:hAnsi="华文仿宋" w:eastAsia="华文仿宋" w:cs="Times New Roman"/>
              </w:rPr>
            </w:pPr>
          </w:p>
          <w:p>
            <w:pPr>
              <w:pStyle w:val="7"/>
              <w:rPr>
                <w:rFonts w:ascii="Calibri" w:hAnsi="Calibri" w:cs="Calibri"/>
              </w:rPr>
            </w:pPr>
            <w:r>
              <w:rPr>
                <w:rFonts w:hint="eastAsia" w:ascii="华文仿宋" w:hAnsi="华文仿宋" w:eastAsia="华文仿宋" w:cs="华文仿宋"/>
              </w:rPr>
              <w:t>旷课处理：均视为没有上课</w:t>
            </w:r>
          </w:p>
          <w:p>
            <w:pPr>
              <w:rPr>
                <w:rFonts w:ascii="华文仿宋" w:hAnsi="华文仿宋" w:eastAsia="华文仿宋" w:cs="Times New Roman"/>
              </w:rPr>
            </w:pPr>
          </w:p>
          <w:p>
            <w:pPr>
              <w:pStyle w:val="7"/>
              <w:rPr>
                <w:rFonts w:ascii="Calibri" w:hAnsi="Calibri" w:cs="Calibri"/>
              </w:rPr>
            </w:pPr>
            <w:r>
              <w:rPr>
                <w:rFonts w:hint="eastAsia" w:ascii="华文仿宋" w:hAnsi="华文仿宋" w:eastAsia="华文仿宋" w:cs="华文仿宋"/>
              </w:rPr>
              <w:t>请假处理：均视为没有上课</w:t>
            </w:r>
          </w:p>
          <w:p>
            <w:pPr>
              <w:rPr>
                <w:rFonts w:ascii="华文仿宋" w:hAnsi="华文仿宋" w:eastAsia="华文仿宋" w:cs="Times New Roman"/>
              </w:rPr>
            </w:pPr>
          </w:p>
          <w:p>
            <w:pPr>
              <w:pStyle w:val="7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华文仿宋"/>
              </w:rPr>
              <w:t>课上纪律要求</w:t>
            </w: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>：</w:t>
            </w:r>
            <w:r>
              <w:rPr>
                <w:rFonts w:hint="eastAsia" w:ascii="华文仿宋" w:hAnsi="华文仿宋" w:eastAsia="华文仿宋" w:cs="华文仿宋"/>
              </w:rPr>
              <w:t>讲课期间不允许随便走动，不允许说话</w:t>
            </w:r>
          </w:p>
          <w:p>
            <w:pPr>
              <w:rPr>
                <w:rFonts w:ascii="华文仿宋" w:hAnsi="华文仿宋" w:eastAsia="华文仿宋" w:cs="Times New Roman"/>
                <w:sz w:val="20"/>
                <w:szCs w:val="20"/>
              </w:rPr>
            </w:pPr>
          </w:p>
          <w:p>
            <w:pPr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其他：</w:t>
            </w:r>
          </w:p>
          <w:p>
            <w:pPr>
              <w:rPr>
                <w:rFonts w:ascii="华文仿宋" w:hAnsi="华文仿宋" w:eastAsia="华文仿宋" w:cs="Times New Roman"/>
              </w:rPr>
            </w:pPr>
          </w:p>
          <w:p>
            <w:pPr>
              <w:rPr>
                <w:rFonts w:ascii="华文仿宋" w:hAnsi="华文仿宋" w:eastAsia="华文仿宋" w:cs="Times New Roman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</w:rPr>
              <w:t>说明：学生上课铃响后进入教室的按迟到论处，下课铃响前离开教室的按早退论处；学生迟到、早退</w:t>
            </w:r>
            <w:r>
              <w:rPr>
                <w:rFonts w:ascii="华文仿宋" w:hAnsi="华文仿宋" w:eastAsia="华文仿宋" w:cs="华文仿宋"/>
              </w:rPr>
              <w:t>15</w:t>
            </w:r>
            <w:r>
              <w:rPr>
                <w:rFonts w:hint="eastAsia" w:ascii="华文仿宋" w:hAnsi="华文仿宋" w:eastAsia="华文仿宋" w:cs="华文仿宋"/>
              </w:rPr>
              <w:t>分钟以上或迟到、早退达</w:t>
            </w:r>
            <w:r>
              <w:rPr>
                <w:rFonts w:ascii="华文仿宋" w:hAnsi="华文仿宋" w:eastAsia="华文仿宋" w:cs="华文仿宋"/>
              </w:rPr>
              <w:t>3</w:t>
            </w:r>
            <w:r>
              <w:rPr>
                <w:rFonts w:hint="eastAsia" w:ascii="华文仿宋" w:hAnsi="华文仿宋" w:eastAsia="华文仿宋" w:cs="华文仿宋"/>
              </w:rPr>
              <w:t>次者，按旷课</w:t>
            </w:r>
            <w:r>
              <w:rPr>
                <w:rFonts w:ascii="华文仿宋" w:hAnsi="华文仿宋" w:eastAsia="华文仿宋" w:cs="华文仿宋"/>
              </w:rPr>
              <w:t>1</w:t>
            </w:r>
            <w:r>
              <w:rPr>
                <w:rFonts w:hint="eastAsia" w:ascii="华文仿宋" w:hAnsi="华文仿宋" w:eastAsia="华文仿宋" w:cs="华文仿宋"/>
              </w:rPr>
              <w:t>学时论。</w:t>
            </w:r>
          </w:p>
        </w:tc>
      </w:tr>
    </w:tbl>
    <w:p>
      <w:pPr>
        <w:pStyle w:val="6"/>
        <w:numPr>
          <w:ilvl w:val="0"/>
          <w:numId w:val="1"/>
        </w:numPr>
        <w:ind w:firstLineChars="0"/>
        <w:jc w:val="lef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学生学习达到的效果</w:t>
      </w:r>
      <w:r>
        <w:rPr>
          <w:rFonts w:ascii="华文仿宋" w:hAnsi="华文仿宋" w:eastAsia="华文仿宋" w:cs="华文仿宋"/>
          <w:sz w:val="28"/>
          <w:szCs w:val="28"/>
        </w:rPr>
        <w:t>(Student Learning Outcomes)</w:t>
      </w:r>
    </w:p>
    <w:tbl>
      <w:tblPr>
        <w:tblW w:w="1006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72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 w:cs="Times New Roman"/>
                <w:b/>
                <w:bCs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</w:rPr>
              <w:t>要求掌握的知识点：</w:t>
            </w:r>
          </w:p>
          <w:p>
            <w:pPr>
              <w:jc w:val="left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商务谈判的基础知识、商务谈判的过程、商务谈判策略和技巧的运用</w:t>
            </w:r>
          </w:p>
          <w:p>
            <w:pPr>
              <w:jc w:val="left"/>
              <w:rPr>
                <w:rFonts w:ascii="华文仿宋" w:hAnsi="华文仿宋" w:eastAsia="华文仿宋" w:cs="Times New Roman"/>
                <w:b/>
                <w:bCs/>
              </w:rPr>
            </w:pPr>
          </w:p>
          <w:p>
            <w:pPr>
              <w:jc w:val="left"/>
              <w:rPr>
                <w:rFonts w:ascii="华文仿宋" w:hAnsi="华文仿宋" w:eastAsia="华文仿宋" w:cs="Times New Roman"/>
                <w:b/>
                <w:bCs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</w:rPr>
              <w:t>要求理解的知识点：</w:t>
            </w:r>
          </w:p>
          <w:p>
            <w:pPr>
              <w:jc w:val="left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商务谈判的基本理论、商务谈判策略与技巧的运用</w:t>
            </w:r>
          </w:p>
          <w:p>
            <w:pPr>
              <w:jc w:val="left"/>
              <w:rPr>
                <w:rFonts w:ascii="华文仿宋" w:hAnsi="华文仿宋" w:eastAsia="华文仿宋" w:cs="Times New Roman"/>
                <w:b/>
                <w:bCs/>
              </w:rPr>
            </w:pPr>
          </w:p>
          <w:p>
            <w:pPr>
              <w:jc w:val="left"/>
              <w:rPr>
                <w:rFonts w:ascii="华文仿宋" w:hAnsi="华文仿宋" w:eastAsia="华文仿宋" w:cs="Times New Roman"/>
                <w:b/>
                <w:bCs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</w:rPr>
              <w:t>要求了解的知识点：</w:t>
            </w:r>
          </w:p>
          <w:p>
            <w:pPr>
              <w:jc w:val="left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商务谈判的过程、策略和技巧的运用、商务谈判礼仪</w:t>
            </w:r>
          </w:p>
          <w:p>
            <w:pPr>
              <w:jc w:val="left"/>
              <w:rPr>
                <w:rFonts w:ascii="华文仿宋" w:hAnsi="华文仿宋" w:eastAsia="华文仿宋" w:cs="Times New Roman"/>
                <w:b/>
                <w:bCs/>
                <w:sz w:val="28"/>
                <w:szCs w:val="28"/>
              </w:rPr>
            </w:pPr>
          </w:p>
        </w:tc>
      </w:tr>
    </w:tbl>
    <w:p>
      <w:pPr>
        <w:pStyle w:val="6"/>
        <w:numPr>
          <w:ilvl w:val="0"/>
          <w:numId w:val="1"/>
        </w:numPr>
        <w:ind w:firstLineChars="0"/>
        <w:jc w:val="left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课程教学环节的安排、方法和</w:t>
      </w:r>
      <w:r>
        <w:rPr>
          <w:rFonts w:hint="eastAsia" w:ascii="仿宋_GB2312" w:hAnsi="宋体" w:eastAsia="仿宋_GB2312" w:cs="仿宋_GB2312"/>
          <w:kern w:val="0"/>
          <w:sz w:val="28"/>
          <w:szCs w:val="28"/>
        </w:rPr>
        <w:t>评分标准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ascii="仿宋_GB2312" w:hAnsi="宋体" w:eastAsia="仿宋_GB2312" w:cs="Times New Roman"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kern w:val="0"/>
          <w:sz w:val="28"/>
          <w:szCs w:val="28"/>
        </w:rPr>
        <w:t>课程教学环节安排（</w:t>
      </w:r>
      <w:r>
        <w:rPr>
          <w:rFonts w:ascii="仿宋_GB2312" w:hAnsi="宋体" w:eastAsia="仿宋_GB2312" w:cs="仿宋_GB2312"/>
          <w:kern w:val="0"/>
          <w:sz w:val="28"/>
          <w:szCs w:val="28"/>
        </w:rPr>
        <w:t>Course Progress Outline</w:t>
      </w:r>
      <w:r>
        <w:rPr>
          <w:rFonts w:hint="eastAsia" w:ascii="仿宋_GB2312" w:hAnsi="宋体" w:eastAsia="仿宋_GB2312" w:cs="仿宋_GB2312"/>
          <w:kern w:val="0"/>
          <w:sz w:val="28"/>
          <w:szCs w:val="28"/>
        </w:rPr>
        <w:t>）</w:t>
      </w:r>
    </w:p>
    <w:tbl>
      <w:tblPr>
        <w:tblW w:w="10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9"/>
        <w:gridCol w:w="1100"/>
        <w:gridCol w:w="4667"/>
        <w:gridCol w:w="1316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Week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Date</w:t>
            </w:r>
          </w:p>
        </w:tc>
        <w:tc>
          <w:tcPr>
            <w:tcW w:w="466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Topic &amp; Abstract</w:t>
            </w:r>
          </w:p>
        </w:tc>
        <w:tc>
          <w:tcPr>
            <w:tcW w:w="131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方式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学时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执行情</w:t>
            </w:r>
          </w:p>
          <w:p>
            <w:pPr>
              <w:snapToGrid w:val="0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况记录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lang w:eastAsia="zh-TW"/>
              </w:rPr>
            </w:pP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谈判动机与关键概念、谈判程序与结构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2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lang w:eastAsia="zh-TW"/>
              </w:rPr>
            </w:pP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商务谈判的原则、商务谈判的准备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3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lang w:eastAsia="zh-TW"/>
              </w:rPr>
            </w:pP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商务谈判的开局、商务谈判的报价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4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lang w:eastAsia="zh-TW"/>
              </w:rPr>
            </w:pP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务谈判的议价、处理僵局的技巧及让步技巧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5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widowControl/>
              <w:spacing w:line="300" w:lineRule="atLeast"/>
              <w:ind w:left="31680" w:hangingChars="50" w:firstLine="31680"/>
              <w:jc w:val="left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TW"/>
              </w:rPr>
              <w:t>商务谈判的成交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商务谈判的后续工作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6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sz w:val="24"/>
                <w:szCs w:val="24"/>
                <w:lang w:eastAsia="zh-TW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TW"/>
              </w:rPr>
              <w:t>利益分配法则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7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sz w:val="24"/>
                <w:szCs w:val="24"/>
                <w:lang w:eastAsia="zh-TW"/>
              </w:rPr>
            </w:pP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谈判力及相关因素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sz w:val="24"/>
                <w:szCs w:val="24"/>
                <w:lang w:eastAsia="zh-TW"/>
              </w:rPr>
            </w:pP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商务谈判策略、优势谈判技巧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9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sz w:val="24"/>
                <w:szCs w:val="24"/>
                <w:lang w:eastAsia="zh-TW"/>
              </w:rPr>
            </w:pP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劣势谈判技巧、均势谈判技巧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10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lang w:eastAsia="zh-TW"/>
              </w:rPr>
            </w:pP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信任法则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11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lang w:eastAsia="zh-TW"/>
              </w:rPr>
            </w:pP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谈判者性格类型与谈判模式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12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TW"/>
              </w:rPr>
              <w:t>博弈论及其在谈判中的应用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两分法谈判与价格谈判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13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lang w:eastAsia="zh-TW"/>
              </w:rPr>
            </w:pP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商务谈判沟通技巧、涉外商务谈判技巧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14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lang w:eastAsia="zh-TW"/>
              </w:rPr>
            </w:pP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商务谈判的礼仪与禁忌、复杂谈判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15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lang w:eastAsia="zh-TW"/>
              </w:rPr>
            </w:pP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文化模式与谈判模式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rPr>
                <w:rFonts w:ascii="华文仿宋" w:hAnsi="华文仿宋" w:eastAsia="华文仿宋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16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ascii="宋体" w:cs="宋体"/>
                <w:color w:val="555555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555555"/>
                <w:kern w:val="0"/>
                <w:sz w:val="24"/>
                <w:szCs w:val="24"/>
              </w:rPr>
              <w:t>国际商务谈判总括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color w:val="000000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color w:val="000000"/>
              </w:rPr>
            </w:pPr>
            <w:r>
              <w:rPr>
                <w:rFonts w:ascii="华文仿宋" w:hAnsi="华文仿宋" w:eastAsia="华文仿宋" w:cs="华文仿宋"/>
                <w:color w:val="000000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rPr>
                <w:rFonts w:ascii="华文仿宋" w:hAnsi="华文仿宋" w:eastAsia="华文仿宋" w:cs="Times New Roman"/>
                <w:color w:val="000000"/>
                <w:kern w:val="0"/>
              </w:rPr>
            </w:pPr>
          </w:p>
        </w:tc>
      </w:tr>
    </w:tbl>
    <w:p>
      <w:pPr>
        <w:widowControl/>
        <w:numPr>
          <w:ilvl w:val="0"/>
          <w:numId w:val="2"/>
        </w:numPr>
        <w:tabs>
          <w:tab w:val="left" w:pos="284"/>
          <w:tab w:val="clear" w:pos="900"/>
        </w:tabs>
        <w:spacing w:line="360" w:lineRule="auto"/>
        <w:ind w:hanging="900"/>
        <w:jc w:val="left"/>
        <w:rPr>
          <w:rFonts w:ascii="仿宋_GB2312" w:hAnsi="宋体" w:eastAsia="仿宋_GB2312" w:cs="Times New Roman"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kern w:val="0"/>
          <w:sz w:val="28"/>
          <w:szCs w:val="28"/>
        </w:rPr>
        <w:t>课程教学方法</w:t>
      </w:r>
    </w:p>
    <w:tbl>
      <w:tblPr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  <w:lang w:eastAsia="zh-TW"/>
              </w:rPr>
            </w:pPr>
            <w:r>
              <w:rPr>
                <w:rFonts w:ascii="华文仿宋" w:hAnsi="华文仿宋" w:eastAsia="华文仿宋" w:cs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</w:rPr>
              <w:t>方法</w:t>
            </w:r>
            <w:r>
              <w:rPr>
                <w:rFonts w:ascii="华文仿宋" w:hAnsi="华文仿宋" w:eastAsia="华文仿宋" w:cs="华文仿宋"/>
              </w:rPr>
              <w:t>Method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</w:rPr>
              <w:t>方法</w:t>
            </w:r>
            <w:r>
              <w:rPr>
                <w:rFonts w:ascii="华文仿宋" w:hAnsi="华文仿宋" w:eastAsia="华文仿宋" w:cs="华文仿宋"/>
              </w:rPr>
              <w:t>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</w:rPr>
              <w:t>方法</w:t>
            </w:r>
            <w:r>
              <w:rPr>
                <w:rFonts w:ascii="华文仿宋" w:hAnsi="华文仿宋" w:eastAsia="华文仿宋" w:cs="华文仿宋"/>
              </w:rPr>
              <w:t>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 w:cs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60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39"/>
                <w:kern w:val="0"/>
              </w:rPr>
              <w:t>影片欣</w:t>
            </w:r>
            <w:r>
              <w:rPr>
                <w:rFonts w:hint="eastAsia" w:ascii="华文仿宋" w:hAnsi="华文仿宋" w:eastAsia="华文仿宋" w:cs="华文仿宋"/>
                <w:kern w:val="0"/>
              </w:rPr>
              <w:t>赏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615"/>
                <w:kern w:val="0"/>
              </w:rPr>
              <w:t>讨</w:t>
            </w:r>
            <w:r>
              <w:rPr>
                <w:rFonts w:hint="eastAsia" w:ascii="华文仿宋" w:hAnsi="华文仿宋" w:eastAsia="华文仿宋" w:cs="华文仿宋"/>
                <w:spacing w:val="7"/>
                <w:kern w:val="0"/>
              </w:rPr>
              <w:t>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20"/>
                <w:kern w:val="0"/>
              </w:rPr>
              <w:t>个案研</w:t>
            </w:r>
            <w:r>
              <w:rPr>
                <w:rFonts w:hint="eastAsia" w:ascii="华文仿宋" w:hAnsi="华文仿宋" w:eastAsia="华文仿宋" w:cs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35"/>
                <w:kern w:val="0"/>
              </w:rPr>
              <w:t>服务学</w:t>
            </w:r>
            <w:r>
              <w:rPr>
                <w:rFonts w:hint="eastAsia" w:ascii="华文仿宋" w:hAnsi="华文仿宋" w:eastAsia="华文仿宋" w:cs="华文仿宋"/>
                <w:spacing w:val="7"/>
                <w:kern w:val="0"/>
              </w:rPr>
              <w:t>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30"/>
                <w:kern w:val="0"/>
              </w:rPr>
              <w:t>问题导向学</w:t>
            </w:r>
            <w:r>
              <w:rPr>
                <w:rFonts w:hint="eastAsia" w:ascii="华文仿宋" w:hAnsi="华文仿宋" w:eastAsia="华文仿宋" w:cs="华文仿宋"/>
                <w:spacing w:val="52"/>
                <w:kern w:val="0"/>
              </w:rPr>
              <w:t>习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20"/>
                <w:kern w:val="0"/>
              </w:rPr>
              <w:t>竞赛游</w:t>
            </w:r>
            <w:r>
              <w:rPr>
                <w:rFonts w:hint="eastAsia" w:ascii="华文仿宋" w:hAnsi="华文仿宋" w:eastAsia="华文仿宋" w:cs="华文仿宋"/>
                <w:kern w:val="0"/>
              </w:rPr>
              <w:t>戏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35"/>
                <w:kern w:val="0"/>
              </w:rPr>
              <w:t>专家演</w:t>
            </w:r>
            <w:r>
              <w:rPr>
                <w:rFonts w:hint="eastAsia" w:ascii="华文仿宋" w:hAnsi="华文仿宋" w:eastAsia="华文仿宋" w:cs="华文仿宋"/>
                <w:spacing w:val="7"/>
                <w:kern w:val="0"/>
              </w:rPr>
              <w:t>讲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35"/>
                <w:kern w:val="0"/>
              </w:rPr>
              <w:t>专题实</w:t>
            </w:r>
            <w:r>
              <w:rPr>
                <w:rFonts w:hint="eastAsia" w:ascii="华文仿宋" w:hAnsi="华文仿宋" w:eastAsia="华文仿宋" w:cs="华文仿宋"/>
                <w:spacing w:val="7"/>
                <w:kern w:val="0"/>
              </w:rPr>
              <w:t>践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20"/>
                <w:kern w:val="0"/>
              </w:rPr>
              <w:t>电子教</w:t>
            </w:r>
            <w:r>
              <w:rPr>
                <w:rFonts w:hint="eastAsia" w:ascii="华文仿宋" w:hAnsi="华文仿宋" w:eastAsia="华文仿宋" w:cs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35"/>
                <w:kern w:val="0"/>
              </w:rPr>
              <w:t>体验教</w:t>
            </w:r>
            <w:r>
              <w:rPr>
                <w:rFonts w:hint="eastAsia" w:ascii="华文仿宋" w:hAnsi="华文仿宋" w:eastAsia="华文仿宋" w:cs="华文仿宋"/>
                <w:spacing w:val="7"/>
                <w:kern w:val="0"/>
              </w:rPr>
              <w:t>学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5"/>
                <w:w w:val="86"/>
                <w:kern w:val="0"/>
              </w:rPr>
              <w:t>角色扮演实境教</w:t>
            </w:r>
            <w:r>
              <w:rPr>
                <w:rFonts w:hint="eastAsia" w:ascii="华文仿宋" w:hAnsi="华文仿宋" w:eastAsia="华文仿宋" w:cs="华文仿宋"/>
                <w:spacing w:val="7"/>
                <w:w w:val="86"/>
                <w:kern w:val="0"/>
              </w:rPr>
              <w:t>学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60"/>
                <w:kern w:val="0"/>
              </w:rPr>
              <w:t>竞赛读书</w:t>
            </w:r>
            <w:r>
              <w:rPr>
                <w:rFonts w:hint="eastAsia" w:ascii="华文仿宋" w:hAnsi="华文仿宋" w:eastAsia="华文仿宋" w:cs="华文仿宋"/>
                <w:spacing w:val="15"/>
                <w:kern w:val="0"/>
              </w:rPr>
              <w:t>会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35"/>
                <w:kern w:val="0"/>
              </w:rPr>
              <w:t>产业实</w:t>
            </w:r>
            <w:r>
              <w:rPr>
                <w:rFonts w:hint="eastAsia" w:ascii="华文仿宋" w:hAnsi="华文仿宋" w:eastAsia="华文仿宋" w:cs="华文仿宋"/>
                <w:spacing w:val="7"/>
                <w:kern w:val="0"/>
              </w:rPr>
              <w:t>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35"/>
                <w:kern w:val="0"/>
              </w:rPr>
              <w:t>自主学</w:t>
            </w:r>
            <w:r>
              <w:rPr>
                <w:rFonts w:hint="eastAsia" w:ascii="华文仿宋" w:hAnsi="华文仿宋" w:eastAsia="华文仿宋" w:cs="华文仿宋"/>
                <w:spacing w:val="7"/>
                <w:kern w:val="0"/>
              </w:rPr>
              <w:t>习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spacing w:val="45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60"/>
                <w:kern w:val="0"/>
              </w:rPr>
              <w:t>对话教学</w:t>
            </w:r>
            <w:r>
              <w:rPr>
                <w:rFonts w:hint="eastAsia" w:ascii="华文仿宋" w:hAnsi="华文仿宋" w:eastAsia="华文仿宋" w:cs="华文仿宋"/>
                <w:spacing w:val="15"/>
                <w:kern w:val="0"/>
              </w:rPr>
              <w:t>法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spacing w:val="119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39"/>
                <w:kern w:val="0"/>
              </w:rPr>
              <w:t>样本观</w:t>
            </w:r>
            <w:r>
              <w:rPr>
                <w:rFonts w:hint="eastAsia" w:ascii="华文仿宋" w:hAnsi="华文仿宋" w:eastAsia="华文仿宋" w:cs="华文仿宋"/>
                <w:kern w:val="0"/>
              </w:rPr>
              <w:t>察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spacing w:val="118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 w:cs="华文仿宋"/>
                <w:spacing w:val="7"/>
                <w:kern w:val="0"/>
              </w:rPr>
              <w:t>访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spacing w:val="45"/>
                <w:kern w:val="0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 w:cs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spacing w:val="597"/>
                <w:kern w:val="0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139"/>
                <w:kern w:val="0"/>
              </w:rPr>
              <w:t>个别指</w:t>
            </w:r>
            <w:r>
              <w:rPr>
                <w:rFonts w:hint="eastAsia" w:ascii="华文仿宋" w:hAnsi="华文仿宋" w:eastAsia="华文仿宋" w:cs="华文仿宋"/>
                <w:kern w:val="0"/>
              </w:rPr>
              <w:t>导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spacing w:val="118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pacing w:val="615"/>
                <w:kern w:val="0"/>
              </w:rPr>
              <w:t>其</w:t>
            </w:r>
            <w:r>
              <w:rPr>
                <w:rFonts w:hint="eastAsia" w:ascii="华文仿宋" w:hAnsi="华文仿宋" w:eastAsia="华文仿宋" w:cs="华文仿宋"/>
                <w:spacing w:val="7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sz w:val="20"/>
                <w:szCs w:val="20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说明：</w:t>
            </w:r>
            <w:r>
              <w:rPr>
                <w:rFonts w:ascii="华文仿宋" w:hAnsi="华文仿宋" w:eastAsia="华文仿宋" w:cs="华文仿宋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31680" w:hangingChars="400" w:firstLine="31680"/>
              <w:rPr>
                <w:rFonts w:ascii="华文仿宋" w:hAnsi="华文仿宋" w:eastAsia="华文仿宋" w:cs="Times New Roman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 w:cs="华文仿宋"/>
                <w:sz w:val="20"/>
                <w:szCs w:val="20"/>
              </w:rPr>
              <w:t>0</w:t>
            </w:r>
            <w:r>
              <w:rPr>
                <w:rFonts w:hint="eastAsia" w:ascii="华文仿宋" w:hAnsi="华文仿宋" w:eastAsia="华文仿宋" w:cs="华文仿宋"/>
                <w:sz w:val="20"/>
                <w:szCs w:val="20"/>
              </w:rPr>
              <w:t>”。各项总合须等于</w:t>
            </w:r>
            <w:r>
              <w:rPr>
                <w:rFonts w:ascii="华文仿宋" w:hAnsi="华文仿宋" w:eastAsia="华文仿宋" w:cs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numPr>
          <w:ilvl w:val="0"/>
          <w:numId w:val="2"/>
        </w:numPr>
        <w:tabs>
          <w:tab w:val="left" w:pos="284"/>
          <w:tab w:val="clear" w:pos="900"/>
        </w:tabs>
        <w:spacing w:line="360" w:lineRule="auto"/>
        <w:ind w:hanging="900"/>
        <w:jc w:val="left"/>
        <w:rPr>
          <w:rFonts w:ascii="仿宋_GB2312" w:hAnsi="宋体" w:eastAsia="仿宋_GB2312" w:cs="Times New Roman"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kern w:val="0"/>
          <w:sz w:val="28"/>
          <w:szCs w:val="28"/>
        </w:rPr>
        <w:t>评分标准</w:t>
      </w:r>
    </w:p>
    <w:tbl>
      <w:tblPr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98"/>
        <w:gridCol w:w="1921"/>
        <w:gridCol w:w="755"/>
        <w:gridCol w:w="1945"/>
        <w:gridCol w:w="781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评分标准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华文仿宋"/>
                <w:lang w:eastAsia="zh-TW"/>
              </w:rPr>
            </w:pPr>
            <w:r>
              <w:rPr>
                <w:rFonts w:ascii="华文仿宋" w:hAnsi="华文仿宋" w:eastAsia="华文仿宋" w:cs="华文仿宋"/>
                <w:lang w:eastAsia="zh-TW"/>
              </w:rPr>
              <w:t>Learning Evaluation</w:t>
            </w:r>
          </w:p>
        </w:tc>
        <w:tc>
          <w:tcPr>
            <w:tcW w:w="192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方法</w:t>
            </w:r>
            <w:r>
              <w:rPr>
                <w:rFonts w:ascii="华文仿宋" w:hAnsi="华文仿宋" w:eastAsia="华文仿宋" w:cs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ascii="华文仿宋" w:hAnsi="华文仿宋" w:eastAsia="华文仿宋" w:cs="华文仿宋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方法</w:t>
            </w:r>
            <w:r>
              <w:rPr>
                <w:rFonts w:ascii="华文仿宋" w:hAnsi="华文仿宋" w:eastAsia="华文仿宋" w:cs="华文仿宋"/>
              </w:rPr>
              <w:t>Method</w:t>
            </w:r>
          </w:p>
        </w:tc>
        <w:tc>
          <w:tcPr>
            <w:tcW w:w="78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ascii="华文仿宋" w:hAnsi="华文仿宋" w:eastAsia="华文仿宋" w:cs="华文仿宋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方法</w:t>
            </w:r>
            <w:r>
              <w:rPr>
                <w:rFonts w:ascii="华文仿宋" w:hAnsi="华文仿宋" w:eastAsia="华文仿宋" w:cs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ascii="华文仿宋" w:hAnsi="华文仿宋" w:eastAsia="华文仿宋" w:cs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2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课堂之前测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学生表现侧写报告</w:t>
            </w:r>
          </w:p>
        </w:tc>
        <w:tc>
          <w:tcPr>
            <w:tcW w:w="78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个案分析报告撰写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2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专题发表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课堂上实践演练</w:t>
            </w:r>
          </w:p>
        </w:tc>
        <w:tc>
          <w:tcPr>
            <w:tcW w:w="78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专业团体之鉴定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2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期中考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期末考</w:t>
            </w:r>
          </w:p>
        </w:tc>
        <w:tc>
          <w:tcPr>
            <w:tcW w:w="78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50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随堂考（小考）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2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课堂参与</w:t>
            </w:r>
          </w:p>
        </w:tc>
        <w:tc>
          <w:tcPr>
            <w:tcW w:w="78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心得或作业撰写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  <w:r>
              <w:rPr>
                <w:rFonts w:ascii="华文仿宋" w:hAnsi="华文仿宋" w:eastAsia="华文仿宋" w:cs="华文仿宋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2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口头报告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面试或口试</w:t>
            </w:r>
          </w:p>
        </w:tc>
        <w:tc>
          <w:tcPr>
            <w:tcW w:w="78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自评与小组互评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2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展演</w:t>
            </w:r>
          </w:p>
        </w:tc>
        <w:tc>
          <w:tcPr>
            <w:tcW w:w="78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笔记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2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课堂出勤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10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其他</w:t>
            </w:r>
          </w:p>
        </w:tc>
        <w:tc>
          <w:tcPr>
            <w:tcW w:w="78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华文仿宋" w:hAnsi="华文仿宋" w:eastAsia="华文仿宋" w:cs="华文仿宋"/>
              </w:rPr>
              <w:t>说明：</w:t>
            </w:r>
          </w:p>
          <w:p>
            <w:pPr>
              <w:spacing w:line="280" w:lineRule="exact"/>
              <w:rPr>
                <w:rFonts w:ascii="华文仿宋" w:hAnsi="华文仿宋" w:eastAsia="华文仿宋" w:cs="Times New Roman"/>
              </w:rPr>
            </w:pPr>
          </w:p>
          <w:p>
            <w:pPr>
              <w:spacing w:line="280" w:lineRule="exact"/>
              <w:rPr>
                <w:rFonts w:ascii="华文仿宋" w:hAnsi="华文仿宋" w:eastAsia="华文仿宋" w:cs="Times New Roman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 w:cs="Times New Roman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31680" w:hangingChars="350" w:firstLine="31680"/>
              <w:rPr>
                <w:rFonts w:ascii="华文仿宋" w:hAnsi="华文仿宋" w:eastAsia="华文仿宋" w:cs="Times New Roman"/>
                <w:lang w:eastAsia="zh-TW"/>
              </w:rPr>
            </w:pPr>
            <w:r>
              <w:rPr>
                <w:rFonts w:hint="eastAsia" w:ascii="华文仿宋" w:hAnsi="华文仿宋" w:eastAsia="华文仿宋" w:cs="华文仿宋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 w:cs="华文仿宋"/>
              </w:rPr>
              <w:t>0</w:t>
            </w:r>
            <w:r>
              <w:rPr>
                <w:rFonts w:hint="eastAsia" w:ascii="华文仿宋" w:hAnsi="华文仿宋" w:eastAsia="华文仿宋" w:cs="华文仿宋"/>
              </w:rPr>
              <w:t>。各项总合须等于</w:t>
            </w:r>
            <w:r>
              <w:rPr>
                <w:rFonts w:ascii="华文仿宋" w:hAnsi="华文仿宋" w:eastAsia="华文仿宋" w:cs="华文仿宋"/>
              </w:rPr>
              <w:t>100%</w:t>
            </w:r>
          </w:p>
        </w:tc>
      </w:tr>
    </w:tbl>
    <w:p>
      <w:pPr>
        <w:jc w:val="left"/>
        <w:rPr>
          <w:rFonts w:ascii="华文仿宋" w:hAnsi="华文仿宋" w:eastAsia="华文仿宋" w:cs="Times New Roman"/>
          <w:sz w:val="28"/>
          <w:szCs w:val="28"/>
        </w:rPr>
      </w:pPr>
    </w:p>
    <w:p>
      <w:pPr>
        <w:pStyle w:val="6"/>
        <w:numPr>
          <w:ilvl w:val="0"/>
          <w:numId w:val="1"/>
        </w:numPr>
        <w:ind w:firstLineChars="0"/>
        <w:jc w:val="lef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对学生学术诚信的要求</w:t>
      </w:r>
      <w:r>
        <w:rPr>
          <w:rFonts w:ascii="华文仿宋" w:hAnsi="华文仿宋" w:eastAsia="华文仿宋" w:cs="华文仿宋"/>
          <w:sz w:val="28"/>
          <w:szCs w:val="28"/>
        </w:rPr>
        <w:t>(Honesty Requirements)</w:t>
      </w:r>
    </w:p>
    <w:tbl>
      <w:tblPr>
        <w:tblW w:w="1006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752" w:hRule="atLeast"/>
        </w:trPr>
        <w:tc>
          <w:tcPr>
            <w:tcW w:w="10065" w:type="dxa"/>
            <w:vAlign w:val="top"/>
          </w:tcPr>
          <w:p>
            <w:pPr>
              <w:widowControl/>
              <w:jc w:val="left"/>
              <w:rPr>
                <w:rFonts w:ascii="华文仿宋" w:hAnsi="华文仿宋" w:eastAsia="华文仿宋" w:cs="Times New Roman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8"/>
                <w:szCs w:val="28"/>
              </w:rPr>
              <w:t>要求作业和随堂考试以及期末考试独立完成。</w:t>
            </w:r>
          </w:p>
          <w:p>
            <w:pPr>
              <w:jc w:val="left"/>
              <w:rPr>
                <w:rFonts w:ascii="华文仿宋" w:hAnsi="华文仿宋" w:eastAsia="华文仿宋" w:cs="Times New Roman"/>
                <w:sz w:val="28"/>
                <w:szCs w:val="28"/>
              </w:rPr>
            </w:pPr>
          </w:p>
        </w:tc>
      </w:tr>
    </w:tbl>
    <w:p>
      <w:pPr>
        <w:pStyle w:val="6"/>
        <w:numPr>
          <w:ilvl w:val="0"/>
          <w:numId w:val="1"/>
        </w:numPr>
        <w:ind w:firstLineChars="0"/>
        <w:jc w:val="left"/>
        <w:rPr>
          <w:rFonts w:ascii="华文仿宋" w:hAnsi="华文仿宋" w:eastAsia="华文仿宋" w:cs="Times New Roman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对最终成绩有不同意见时的处理解决方案</w:t>
      </w:r>
      <w:r>
        <w:rPr>
          <w:rFonts w:hint="eastAsia" w:ascii="华文仿宋" w:hAnsi="华文仿宋" w:eastAsia="华文仿宋" w:cs="华文仿宋"/>
          <w:sz w:val="22"/>
          <w:szCs w:val="22"/>
        </w:rPr>
        <w:t>（</w:t>
      </w:r>
      <w:r>
        <w:rPr>
          <w:rFonts w:ascii="华文仿宋" w:hAnsi="华文仿宋" w:eastAsia="华文仿宋" w:cs="华文仿宋"/>
          <w:sz w:val="22"/>
          <w:szCs w:val="22"/>
        </w:rPr>
        <w:t>Grade Dispute Policy</w:t>
      </w:r>
      <w:r>
        <w:rPr>
          <w:rFonts w:hint="eastAsia" w:ascii="华文仿宋" w:hAnsi="华文仿宋" w:eastAsia="华文仿宋" w:cs="华文仿宋"/>
          <w:sz w:val="22"/>
          <w:szCs w:val="22"/>
        </w:rPr>
        <w:t>）</w:t>
      </w:r>
    </w:p>
    <w:tbl>
      <w:tblPr>
        <w:tblW w:w="1006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14" w:hRule="atLeast"/>
        </w:trPr>
        <w:tc>
          <w:tcPr>
            <w:tcW w:w="10065" w:type="dxa"/>
            <w:vAlign w:val="top"/>
          </w:tcPr>
          <w:p>
            <w:pPr>
              <w:widowControl/>
              <w:jc w:val="left"/>
              <w:rPr>
                <w:rFonts w:ascii="华文仿宋" w:hAnsi="华文仿宋" w:eastAsia="华文仿宋" w:cs="Times New Roman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8"/>
                <w:szCs w:val="28"/>
              </w:rPr>
              <w:t>课堂根据随堂考试的结果当场评定成绩，并说明给出成绩的理由。</w:t>
            </w:r>
          </w:p>
          <w:p>
            <w:pPr>
              <w:widowControl/>
              <w:jc w:val="left"/>
              <w:rPr>
                <w:rFonts w:ascii="华文仿宋" w:hAnsi="华文仿宋" w:eastAsia="华文仿宋" w:cs="华文仿宋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华文仿宋"/>
                <w:kern w:val="0"/>
                <w:sz w:val="28"/>
                <w:szCs w:val="28"/>
              </w:rPr>
              <w:t xml:space="preserve"> </w:t>
            </w:r>
          </w:p>
          <w:p>
            <w:pPr>
              <w:jc w:val="left"/>
              <w:rPr>
                <w:rFonts w:ascii="华文仿宋" w:hAnsi="华文仿宋" w:eastAsia="华文仿宋" w:cs="Times New Roman"/>
                <w:sz w:val="28"/>
                <w:szCs w:val="28"/>
              </w:rPr>
            </w:pPr>
          </w:p>
        </w:tc>
      </w:tr>
    </w:tbl>
    <w:p>
      <w:pPr>
        <w:jc w:val="left"/>
        <w:rPr>
          <w:rFonts w:ascii="华文仿宋" w:hAnsi="华文仿宋" w:eastAsia="华文仿宋" w:cs="Times New Roman"/>
          <w:sz w:val="28"/>
          <w:szCs w:val="28"/>
        </w:rPr>
      </w:pPr>
    </w:p>
    <w:sectPr>
      <w:headerReference r:id="rId5" w:type="default"/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altName w:val="方正舒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jc w:val="left"/>
      <w:rPr>
        <w:rFonts w:cs="Times New Roman"/>
      </w:rPr>
    </w:pPr>
    <w:r>
      <w:rPr>
        <w:rFonts w:hint="eastAsia" w:ascii="华文仿宋" w:hAnsi="华文仿宋" w:eastAsia="华文仿宋" w:cs="华文仿宋"/>
        <w:sz w:val="28"/>
        <w:szCs w:val="28"/>
      </w:rPr>
      <w:t>附件</w:t>
    </w:r>
    <w:r>
      <w:rPr>
        <w:rFonts w:ascii="华文仿宋" w:hAnsi="华文仿宋" w:eastAsia="华文仿宋" w:cs="华文仿宋"/>
        <w:sz w:val="28"/>
        <w:szCs w:val="28"/>
      </w:rPr>
      <w:t>1</w:t>
    </w:r>
    <w:r>
      <w:rPr>
        <w:rFonts w:hint="eastAsia" w:ascii="华文仿宋" w:hAnsi="华文仿宋" w:eastAsia="华文仿宋" w:cs="华文仿宋"/>
        <w:sz w:val="28"/>
        <w:szCs w:val="28"/>
      </w:rPr>
      <w:t>：课程教学提纲基本格式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6003436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52056502">
    <w:nsid w:val="745A04B6"/>
    <w:multiLevelType w:val="multilevel"/>
    <w:tmpl w:val="745A04B6"/>
    <w:lvl w:ilvl="0" w:tentative="1">
      <w:start w:val="1"/>
      <w:numFmt w:val="decimal"/>
      <w:lvlText w:val="%1."/>
      <w:lvlJc w:val="left"/>
      <w:pPr>
        <w:tabs>
          <w:tab w:val="left" w:pos="900"/>
        </w:tabs>
        <w:ind w:left="90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1396003436"/>
  </w:num>
  <w:num w:numId="2">
    <w:abstractNumId w:val="19520565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99"/>
    <w:pPr>
      <w:ind w:firstLine="420" w:firstLineChars="200"/>
    </w:pPr>
  </w:style>
  <w:style w:type="paragraph" w:customStyle="1" w:styleId="7">
    <w:name w:val="p0"/>
    <w:basedOn w:val="1"/>
    <w:uiPriority w:val="99"/>
    <w:pPr>
      <w:widowControl/>
    </w:pPr>
    <w:rPr>
      <w:rFonts w:ascii="Times New Roman" w:hAnsi="Times New Roman" w:cs="Times New Roman"/>
    </w:rPr>
  </w:style>
  <w:style w:type="character" w:customStyle="1" w:styleId="8">
    <w:name w:val="f141"/>
    <w:basedOn w:val="5"/>
    <w:uiPriority w:val="99"/>
    <w:rPr>
      <w:sz w:val="22"/>
      <w:szCs w:val="22"/>
    </w:rPr>
  </w:style>
  <w:style w:type="character" w:customStyle="1" w:styleId="9">
    <w:name w:val="Balloon Text Char"/>
    <w:basedOn w:val="5"/>
    <w:link w:val="2"/>
    <w:semiHidden/>
    <w:locked/>
    <w:uiPriority w:val="99"/>
    <w:rPr>
      <w:sz w:val="18"/>
      <w:szCs w:val="18"/>
    </w:rPr>
  </w:style>
  <w:style w:type="character" w:customStyle="1" w:styleId="10">
    <w:name w:val="Header Char"/>
    <w:basedOn w:val="5"/>
    <w:link w:val="4"/>
    <w:locked/>
    <w:uiPriority w:val="99"/>
    <w:rPr>
      <w:sz w:val="18"/>
      <w:szCs w:val="18"/>
    </w:rPr>
  </w:style>
  <w:style w:type="character" w:customStyle="1" w:styleId="11">
    <w:name w:val="Footer Char"/>
    <w:basedOn w:val="5"/>
    <w:link w:val="3"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theme" Target="theme/theme1.xml"/><Relationship Id="rId7" Type="http://schemas.openxmlformats.org/officeDocument/2006/relationships/image" Target="media/image1.png"/><Relationship Id="rId8" Type="http://schemas.openxmlformats.org/officeDocument/2006/relationships/customXml" Target="../customXml/item1.xml"/><Relationship Id="rId9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eastcompeace</Company>
  <Pages>5</Pages>
  <Words>487</Words>
  <Characters>2782</Characters>
  <Lines>0</Lines>
  <Paragraphs>0</Paragraphs>
  <TotalTime>0</TotalTime>
  <ScaleCrop>false</ScaleCrop>
  <LinksUpToDate>false</LinksUpToDate>
  <CharactersWithSpaces>0</CharactersWithSpaces>
  <Application>WPS Office 个人版_9.1.0.4421_{F1E327BC-269C-435d-A152-05C5408002CA}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2013-12-08T01:17:00Z</dcterms:created>
  <dc:creator>张双喜</dc:creator>
  <cp:lastModifiedBy>Administrator</cp:lastModifiedBy>
  <cp:lastPrinted>2013-11-22T08:40:00Z</cp:lastPrinted>
  <dcterms:modified xsi:type="dcterms:W3CDTF">2013-12-08T01:18:44Z</dcterms:modified>
  <dc:title>《课程名称》课程教学提纲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2052-9.1.0.4421</vt:lpwstr>
  </property>
</Properties>
</file>